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8D05" w14:textId="5513A6FB" w:rsidR="001E04ED" w:rsidRPr="00B206EF" w:rsidRDefault="00812F32">
      <w:pPr>
        <w:rPr>
          <w:b/>
          <w:bCs/>
        </w:rPr>
      </w:pPr>
      <w:r w:rsidRPr="00B206EF">
        <w:rPr>
          <w:b/>
          <w:bCs/>
        </w:rPr>
        <w:t>L</w:t>
      </w:r>
      <w:r w:rsidR="00605509" w:rsidRPr="00B206EF">
        <w:rPr>
          <w:b/>
          <w:bCs/>
        </w:rPr>
        <w:t xml:space="preserve">a </w:t>
      </w:r>
      <w:r w:rsidR="00F02DD2" w:rsidRPr="00B206EF">
        <w:rPr>
          <w:b/>
          <w:bCs/>
        </w:rPr>
        <w:t>Confederación General del Trabajo</w:t>
      </w:r>
      <w:r w:rsidR="00605509" w:rsidRPr="00B206EF">
        <w:rPr>
          <w:b/>
          <w:bCs/>
        </w:rPr>
        <w:t xml:space="preserve"> </w:t>
      </w:r>
      <w:r w:rsidRPr="00B206EF">
        <w:rPr>
          <w:b/>
          <w:bCs/>
        </w:rPr>
        <w:t xml:space="preserve">se convierte en </w:t>
      </w:r>
      <w:r w:rsidR="00605509" w:rsidRPr="00B206EF">
        <w:rPr>
          <w:b/>
          <w:bCs/>
        </w:rPr>
        <w:t xml:space="preserve">el sindicato mayoritario en huelgas en toda España. </w:t>
      </w:r>
      <w:r w:rsidR="00F02DD2" w:rsidRPr="00B206EF">
        <w:rPr>
          <w:b/>
          <w:bCs/>
        </w:rPr>
        <w:t xml:space="preserve"> </w:t>
      </w:r>
    </w:p>
    <w:p w14:paraId="3C10F1D7" w14:textId="6B58FAB6" w:rsidR="0070422F" w:rsidRDefault="00497D9C">
      <w:r>
        <w:t>Los datos publicados por el Ministerio de Trabajo</w:t>
      </w:r>
      <w:r w:rsidR="00E22524">
        <w:t xml:space="preserve"> sobre las huelgas realizadas </w:t>
      </w:r>
      <w:r w:rsidR="009A5A44">
        <w:t xml:space="preserve">en 2021 </w:t>
      </w:r>
      <w:r w:rsidR="00E04583">
        <w:t xml:space="preserve">en todo el país </w:t>
      </w:r>
      <w:r w:rsidR="00EC1773">
        <w:t xml:space="preserve">muestran que </w:t>
      </w:r>
      <w:r w:rsidR="009C7DD4">
        <w:t>C</w:t>
      </w:r>
      <w:r w:rsidR="00EC1773">
        <w:t xml:space="preserve">GT </w:t>
      </w:r>
      <w:r w:rsidR="00605509">
        <w:t>es la</w:t>
      </w:r>
      <w:r w:rsidR="00812F32">
        <w:t xml:space="preserve"> </w:t>
      </w:r>
      <w:r w:rsidR="0070422F">
        <w:t xml:space="preserve">primera </w:t>
      </w:r>
      <w:r w:rsidR="00812F32">
        <w:t xml:space="preserve">organización sindical </w:t>
      </w:r>
      <w:r w:rsidR="00E04583">
        <w:t xml:space="preserve">en jornadas de huelga realizadas y en número de personas trabajadoras que han participado en sus convocatorias de huelga. </w:t>
      </w:r>
    </w:p>
    <w:p w14:paraId="1E8CE6FC" w14:textId="77777777" w:rsidR="00C03842" w:rsidRPr="00C03842" w:rsidRDefault="005B1B21" w:rsidP="003333E5">
      <w:pPr>
        <w:rPr>
          <w:b/>
          <w:bCs/>
        </w:rPr>
      </w:pPr>
      <w:r w:rsidRPr="00C03842">
        <w:rPr>
          <w:b/>
          <w:bCs/>
        </w:rPr>
        <w:t xml:space="preserve">CGT es el primer sindicato </w:t>
      </w:r>
      <w:r w:rsidR="009A5A44" w:rsidRPr="00C03842">
        <w:rPr>
          <w:b/>
          <w:bCs/>
        </w:rPr>
        <w:t xml:space="preserve">de España </w:t>
      </w:r>
      <w:r w:rsidR="0098522A" w:rsidRPr="00C03842">
        <w:rPr>
          <w:b/>
          <w:bCs/>
        </w:rPr>
        <w:t xml:space="preserve">en el número de </w:t>
      </w:r>
      <w:r w:rsidR="00B37814" w:rsidRPr="00C03842">
        <w:rPr>
          <w:b/>
          <w:bCs/>
        </w:rPr>
        <w:t xml:space="preserve">participantes </w:t>
      </w:r>
      <w:r w:rsidR="009239E8" w:rsidRPr="00C03842">
        <w:rPr>
          <w:b/>
          <w:bCs/>
        </w:rPr>
        <w:t xml:space="preserve">en </w:t>
      </w:r>
      <w:r w:rsidRPr="00C03842">
        <w:rPr>
          <w:b/>
          <w:bCs/>
        </w:rPr>
        <w:t xml:space="preserve">huelgas con un 59,63% </w:t>
      </w:r>
      <w:r w:rsidR="007E5B87" w:rsidRPr="00C03842">
        <w:rPr>
          <w:b/>
          <w:bCs/>
        </w:rPr>
        <w:t>de</w:t>
      </w:r>
      <w:r w:rsidR="005A0DD4" w:rsidRPr="00C03842">
        <w:rPr>
          <w:b/>
          <w:bCs/>
        </w:rPr>
        <w:t>l total de</w:t>
      </w:r>
      <w:r w:rsidR="007E5B87" w:rsidRPr="00C03842">
        <w:rPr>
          <w:b/>
          <w:bCs/>
        </w:rPr>
        <w:t xml:space="preserve"> huelguistas</w:t>
      </w:r>
      <w:r w:rsidR="005A0DD4" w:rsidRPr="00C03842">
        <w:rPr>
          <w:b/>
          <w:bCs/>
        </w:rPr>
        <w:t xml:space="preserve">. </w:t>
      </w:r>
    </w:p>
    <w:p w14:paraId="062C174F" w14:textId="1E8607A6" w:rsidR="00655B57" w:rsidRDefault="005A0DD4" w:rsidP="003333E5">
      <w:r>
        <w:t xml:space="preserve">El porcentaje de </w:t>
      </w:r>
      <w:r w:rsidR="00DD5F05">
        <w:t xml:space="preserve">participantes en huelgas </w:t>
      </w:r>
      <w:r w:rsidR="0095097D">
        <w:t>de</w:t>
      </w:r>
      <w:r w:rsidR="00DD5F05">
        <w:t xml:space="preserve"> otros convocantes es sensiblemente inferior. En las huelgas convocadas por delegados sindicales o comités de empresa ha participado el </w:t>
      </w:r>
      <w:r w:rsidR="003333E5">
        <w:t xml:space="preserve">18,81% del total de huelguistas, en las </w:t>
      </w:r>
      <w:r w:rsidR="007E5E97">
        <w:t xml:space="preserve">huelgas convocados por </w:t>
      </w:r>
      <w:r w:rsidR="003333E5">
        <w:t xml:space="preserve">CCOO </w:t>
      </w:r>
      <w:r w:rsidR="007E5E97">
        <w:t xml:space="preserve">ha participado el </w:t>
      </w:r>
      <w:r w:rsidR="005D1568">
        <w:t>5,04%</w:t>
      </w:r>
      <w:r w:rsidR="007E5E97">
        <w:t xml:space="preserve"> del total de huelguistas</w:t>
      </w:r>
      <w:r w:rsidR="005D1568">
        <w:t xml:space="preserve">, </w:t>
      </w:r>
      <w:r w:rsidR="003333E5">
        <w:t xml:space="preserve">en las de </w:t>
      </w:r>
      <w:r w:rsidR="005D1568">
        <w:t xml:space="preserve">UGT </w:t>
      </w:r>
      <w:r w:rsidR="003333E5">
        <w:t xml:space="preserve">el </w:t>
      </w:r>
      <w:r w:rsidR="005D1568">
        <w:t xml:space="preserve">4,18%, </w:t>
      </w:r>
      <w:r w:rsidR="003333E5">
        <w:t xml:space="preserve">en las de </w:t>
      </w:r>
      <w:r w:rsidR="005D1568">
        <w:t xml:space="preserve">ELA </w:t>
      </w:r>
      <w:r w:rsidR="003333E5">
        <w:t xml:space="preserve">el </w:t>
      </w:r>
      <w:r w:rsidR="005D1568">
        <w:t>1,52%</w:t>
      </w:r>
      <w:r w:rsidR="00757FDD">
        <w:t xml:space="preserve">, </w:t>
      </w:r>
      <w:r w:rsidR="007E5E97">
        <w:t>en las de la</w:t>
      </w:r>
      <w:r w:rsidR="005D1568">
        <w:t xml:space="preserve"> CIG </w:t>
      </w:r>
      <w:r w:rsidR="007E5E97">
        <w:t xml:space="preserve">el </w:t>
      </w:r>
      <w:r w:rsidR="0098522A">
        <w:t>0,91%</w:t>
      </w:r>
      <w:r w:rsidR="008D6A52">
        <w:t xml:space="preserve">, </w:t>
      </w:r>
      <w:r w:rsidR="00655B57">
        <w:t xml:space="preserve">en las de </w:t>
      </w:r>
      <w:r w:rsidR="00757FDD">
        <w:t xml:space="preserve">USO </w:t>
      </w:r>
      <w:r w:rsidR="00655B57">
        <w:t xml:space="preserve">el </w:t>
      </w:r>
      <w:r w:rsidR="00CB0DBC">
        <w:t>0,78%</w:t>
      </w:r>
      <w:r w:rsidR="008D6A52">
        <w:t xml:space="preserve"> y </w:t>
      </w:r>
      <w:r w:rsidR="00FC2078">
        <w:t xml:space="preserve">en las convocadas por otros sindicatos el 15,01%. </w:t>
      </w:r>
    </w:p>
    <w:p w14:paraId="3F95A8A4" w14:textId="481C931B" w:rsidR="00512B54" w:rsidRDefault="00512B54" w:rsidP="003333E5"/>
    <w:p w14:paraId="544C0459" w14:textId="77777777" w:rsidR="00512B54" w:rsidRDefault="00512B54" w:rsidP="00B66D03">
      <w:pPr>
        <w:jc w:val="center"/>
      </w:pPr>
      <w:r>
        <w:rPr>
          <w:noProof/>
        </w:rPr>
        <w:drawing>
          <wp:inline distT="0" distB="0" distL="0" distR="0" wp14:anchorId="24A437C4" wp14:editId="4AFC2163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47A6645-0A2C-473C-81EE-BD72922590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4FBA21" w14:textId="77777777" w:rsidR="00512B54" w:rsidRDefault="00512B54" w:rsidP="00512B54">
      <w:r>
        <w:t xml:space="preserve">Fuente: Ministerio de Trabajo y Economía Social. Estadística de huelgas y cierres patronales. </w:t>
      </w:r>
    </w:p>
    <w:p w14:paraId="0B443FB0" w14:textId="77777777" w:rsidR="00512B54" w:rsidRDefault="00512B54" w:rsidP="003333E5"/>
    <w:p w14:paraId="29105D04" w14:textId="77777777" w:rsidR="00DA5047" w:rsidRPr="00DA5047" w:rsidRDefault="0098522A">
      <w:pPr>
        <w:rPr>
          <w:b/>
          <w:bCs/>
        </w:rPr>
      </w:pPr>
      <w:r w:rsidRPr="00DA5047">
        <w:rPr>
          <w:b/>
          <w:bCs/>
        </w:rPr>
        <w:t xml:space="preserve">CGT es también el primer sindicato </w:t>
      </w:r>
      <w:r w:rsidR="009A5A44" w:rsidRPr="00DA5047">
        <w:rPr>
          <w:b/>
          <w:bCs/>
        </w:rPr>
        <w:t xml:space="preserve">de España </w:t>
      </w:r>
      <w:r w:rsidRPr="00DA5047">
        <w:rPr>
          <w:b/>
          <w:bCs/>
        </w:rPr>
        <w:t xml:space="preserve">en número de </w:t>
      </w:r>
      <w:r w:rsidR="00DA756C" w:rsidRPr="00DA5047">
        <w:rPr>
          <w:b/>
          <w:bCs/>
        </w:rPr>
        <w:t>jornadas no trabajadas en huelgas</w:t>
      </w:r>
      <w:r w:rsidR="00DA5047" w:rsidRPr="00DA5047">
        <w:rPr>
          <w:b/>
          <w:bCs/>
        </w:rPr>
        <w:t xml:space="preserve"> con un 29,15% del total. </w:t>
      </w:r>
    </w:p>
    <w:p w14:paraId="04F0CDDB" w14:textId="684E90A8" w:rsidR="0098522A" w:rsidRDefault="008F65E4">
      <w:r>
        <w:t xml:space="preserve">Las </w:t>
      </w:r>
      <w:r w:rsidR="00C00564">
        <w:t xml:space="preserve">convocatorias </w:t>
      </w:r>
      <w:r w:rsidR="00B27144">
        <w:t xml:space="preserve">de </w:t>
      </w:r>
      <w:r>
        <w:t xml:space="preserve">huelga de CGT han </w:t>
      </w:r>
      <w:r w:rsidR="00B27144">
        <w:t xml:space="preserve">supuesto el </w:t>
      </w:r>
      <w:r w:rsidR="001A37E3">
        <w:t>29,15% del total</w:t>
      </w:r>
      <w:r w:rsidR="00B27144">
        <w:t xml:space="preserve"> de jornadas no trabajadas por huelgas</w:t>
      </w:r>
      <w:r w:rsidR="00373E49">
        <w:t xml:space="preserve">. </w:t>
      </w:r>
      <w:r w:rsidR="00CE2811">
        <w:t xml:space="preserve">Por detrás </w:t>
      </w:r>
      <w:r w:rsidR="006743FD">
        <w:t xml:space="preserve">se encuentran </w:t>
      </w:r>
      <w:r w:rsidR="00A01ADB">
        <w:t xml:space="preserve">las jornadas no trabajadas en las huelgas convocadas por </w:t>
      </w:r>
      <w:r w:rsidR="00DE3499">
        <w:t xml:space="preserve">delegados o comités de empresa (20,97%), </w:t>
      </w:r>
      <w:r w:rsidR="00394144">
        <w:t xml:space="preserve">en las convocadas por </w:t>
      </w:r>
      <w:r w:rsidR="00DE3499">
        <w:t xml:space="preserve">CCOO (8,55%), </w:t>
      </w:r>
      <w:r w:rsidR="00394144">
        <w:t xml:space="preserve">por </w:t>
      </w:r>
      <w:r w:rsidR="00757FDD">
        <w:t xml:space="preserve">UGT (6,35%), </w:t>
      </w:r>
      <w:r w:rsidR="00394144">
        <w:t xml:space="preserve">por </w:t>
      </w:r>
      <w:r w:rsidR="00757FDD">
        <w:t xml:space="preserve">ELA (3,09%), </w:t>
      </w:r>
      <w:r w:rsidR="00394144">
        <w:t xml:space="preserve">por </w:t>
      </w:r>
      <w:r w:rsidR="00CB0DBC">
        <w:t xml:space="preserve">USO (1,56%) y </w:t>
      </w:r>
      <w:r w:rsidR="00394144">
        <w:t xml:space="preserve">por </w:t>
      </w:r>
      <w:r w:rsidR="00CB0DBC">
        <w:t xml:space="preserve">CIG (1,36%). </w:t>
      </w:r>
    </w:p>
    <w:p w14:paraId="7C862583" w14:textId="77777777" w:rsidR="00512B54" w:rsidRDefault="00512B54" w:rsidP="00B66D03">
      <w:pPr>
        <w:jc w:val="center"/>
      </w:pPr>
      <w:r>
        <w:rPr>
          <w:noProof/>
        </w:rPr>
        <w:lastRenderedPageBreak/>
        <w:drawing>
          <wp:inline distT="0" distB="0" distL="0" distR="0" wp14:anchorId="364DD5FA" wp14:editId="6316B960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C9B6A38-4461-4C23-899F-0F6163F162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5A0A67" w14:textId="77777777" w:rsidR="00512B54" w:rsidRDefault="00512B54" w:rsidP="00512B54">
      <w:r>
        <w:t xml:space="preserve">Fuente: Ministerio de Trabajo y Economía Social. Estadística de huelgas y cierres patronales. </w:t>
      </w:r>
    </w:p>
    <w:p w14:paraId="6D588CE2" w14:textId="77777777" w:rsidR="00512B54" w:rsidRDefault="00512B54" w:rsidP="00DE5215"/>
    <w:p w14:paraId="71F2FA8A" w14:textId="146E7A5A" w:rsidR="00DE5215" w:rsidRDefault="00DE5215" w:rsidP="00DE5215">
      <w:r>
        <w:t xml:space="preserve">Los datos del Ministerio de Trabajo recogen hasta cuatro convocantes por cada huelga, por lo que la suma de los porcentajes puede ser superiores al 100%. Estos datos no incluyen las huelgas generales ni las huelgas sectoriales en el ámbito de toda España. </w:t>
      </w:r>
    </w:p>
    <w:p w14:paraId="512CDAFF" w14:textId="469FB83A" w:rsidR="00CB0DBC" w:rsidRDefault="0040759E">
      <w:r>
        <w:t xml:space="preserve">Es necesario tener en cuenta también que el sindicato ELA solo tiene implantación en el País Vasco y Navarra y la central CIG solo tiene implantación en Galicia. </w:t>
      </w:r>
    </w:p>
    <w:p w14:paraId="786B6035" w14:textId="156F6882" w:rsidR="0040759E" w:rsidRDefault="003F7238">
      <w:r>
        <w:t xml:space="preserve">Es </w:t>
      </w:r>
      <w:r w:rsidR="004A50EE">
        <w:t xml:space="preserve">muy relevante que </w:t>
      </w:r>
      <w:r w:rsidR="004F7F57">
        <w:t>en las huelgas convocadas</w:t>
      </w:r>
      <w:r w:rsidR="00BF0E8B">
        <w:t xml:space="preserve"> </w:t>
      </w:r>
      <w:r w:rsidR="004F7F57">
        <w:t xml:space="preserve">por CGT </w:t>
      </w:r>
      <w:r w:rsidR="001A1714">
        <w:t>participen el 59,63% de las personas trabajadoras que realizaron</w:t>
      </w:r>
      <w:r w:rsidR="008B306C">
        <w:t xml:space="preserve"> huelga en su empresa en 2021,</w:t>
      </w:r>
      <w:r w:rsidR="004A50EE">
        <w:t xml:space="preserve"> </w:t>
      </w:r>
      <w:r w:rsidR="008B306C">
        <w:t>mientras que en las huelgas convocadas por CCOO participen el 5,04% y en las de UGT</w:t>
      </w:r>
      <w:r w:rsidR="006C2804">
        <w:t xml:space="preserve"> el 4,18%</w:t>
      </w:r>
      <w:r w:rsidR="006060BE">
        <w:t xml:space="preserve">, </w:t>
      </w:r>
      <w:r w:rsidR="006C2804">
        <w:t xml:space="preserve"> porque CGT es un sindicato con poca representación, en torno al 3%</w:t>
      </w:r>
      <w:r w:rsidR="001A5D6A">
        <w:t xml:space="preserve"> del total</w:t>
      </w:r>
      <w:r w:rsidR="00350FFF">
        <w:t xml:space="preserve"> de delegados </w:t>
      </w:r>
      <w:r w:rsidR="008A2AAB">
        <w:t>votados en elecciones sindicales</w:t>
      </w:r>
      <w:r w:rsidR="001A5D6A">
        <w:t>, mientras que CCOO y UGT cuentan con una representación diez veces mayor</w:t>
      </w:r>
      <w:r w:rsidR="008A2AAB">
        <w:t>,</w:t>
      </w:r>
      <w:r w:rsidR="001A5D6A">
        <w:t xml:space="preserve"> en torno al 30% cada uno. </w:t>
      </w:r>
    </w:p>
    <w:p w14:paraId="14B0E3F5" w14:textId="0052B204" w:rsidR="009C7DD4" w:rsidRDefault="00967432">
      <w:r>
        <w:t xml:space="preserve">En las huelgas convocadas por </w:t>
      </w:r>
      <w:r w:rsidR="00A9545F">
        <w:t>CGT</w:t>
      </w:r>
      <w:r w:rsidR="00C459BB">
        <w:t xml:space="preserve"> </w:t>
      </w:r>
      <w:r w:rsidR="00BF0E8B">
        <w:t>ha</w:t>
      </w:r>
      <w:r>
        <w:t xml:space="preserve">n participado </w:t>
      </w:r>
      <w:r w:rsidR="00C459BB">
        <w:t>un</w:t>
      </w:r>
      <w:r w:rsidR="00D807E9">
        <w:t xml:space="preserve"> 600% más de personas trabajadoras que en las convocatorias de CCOO y UGT</w:t>
      </w:r>
      <w:r w:rsidR="00C459BB">
        <w:t xml:space="preserve">, que en su conjunto tienen una representación veinte veces mayor que la CGT. </w:t>
      </w:r>
    </w:p>
    <w:p w14:paraId="6B228FF8" w14:textId="60F16414" w:rsidR="00082812" w:rsidRDefault="00082812" w:rsidP="00082812">
      <w:r>
        <w:t xml:space="preserve">La diferencia de afiliación entre las centrales sindicales es similar a la diferencia en representación, de manera que CCOO y UGT cuentan </w:t>
      </w:r>
      <w:r w:rsidR="006060BE">
        <w:t xml:space="preserve">cada una </w:t>
      </w:r>
      <w:r>
        <w:t xml:space="preserve">con una afiliación que es entre 10 y 15 veces superior a la afiliación de CGT. </w:t>
      </w:r>
    </w:p>
    <w:p w14:paraId="268E4F71" w14:textId="5EEA0998" w:rsidR="006060BE" w:rsidRPr="006060BE" w:rsidRDefault="006060BE" w:rsidP="00082812">
      <w:pPr>
        <w:rPr>
          <w:b/>
          <w:bCs/>
        </w:rPr>
      </w:pPr>
      <w:r w:rsidRPr="006060BE">
        <w:rPr>
          <w:b/>
          <w:bCs/>
        </w:rPr>
        <w:t>La confrontación con los empresarios y las huelgas son las vías más efectivas para mejorar las condiciones laborales y sociales</w:t>
      </w:r>
    </w:p>
    <w:p w14:paraId="145AA533" w14:textId="77777777" w:rsidR="006060BE" w:rsidRDefault="006060BE" w:rsidP="006060BE">
      <w:r>
        <w:t xml:space="preserve">Mediante las huelgas convocadas por CGT en 2021, las personas trabajadoras que se han movilizado han logrado mejoras sustanciales en las condiciones laborales. Algunos ejemplos de estas huelgas son: </w:t>
      </w:r>
    </w:p>
    <w:p w14:paraId="2F388C12" w14:textId="1251F9D1" w:rsidR="006060BE" w:rsidRDefault="006060BE" w:rsidP="006060BE">
      <w:pPr>
        <w:pStyle w:val="Prrafodelista"/>
        <w:numPr>
          <w:ilvl w:val="0"/>
          <w:numId w:val="1"/>
        </w:numPr>
      </w:pPr>
      <w:r>
        <w:t xml:space="preserve">Con la huelga intermitente mantenida durante más de dos meses, las trabajadoras y trabajadores del Centro de Tratamiento de Residuos de Abajas (Burgos) lograron una subida salarial del 14% y una reducción de la jornada laboral. </w:t>
      </w:r>
    </w:p>
    <w:p w14:paraId="6DE97E5F" w14:textId="21B614B4" w:rsidR="006060BE" w:rsidRDefault="006060BE" w:rsidP="006060BE">
      <w:pPr>
        <w:pStyle w:val="Prrafodelista"/>
        <w:numPr>
          <w:ilvl w:val="0"/>
          <w:numId w:val="1"/>
        </w:numPr>
      </w:pPr>
      <w:r>
        <w:lastRenderedPageBreak/>
        <w:t>Con la huelga indefinida</w:t>
      </w:r>
      <w:r w:rsidR="00AF764E">
        <w:t xml:space="preserve">, las trabajadoras y trabajadores de la fábrica Frenos y Conjuntos de Valladolid lograron acabar con la congelación salarial de los últimos años, con una subida del 2,5% y 16 horas anuales para acompañar a familiares dependientes a consultas médicas. </w:t>
      </w:r>
    </w:p>
    <w:p w14:paraId="61450E29" w14:textId="32D113CB" w:rsidR="0091496A" w:rsidRDefault="0091496A" w:rsidP="006060BE">
      <w:pPr>
        <w:pStyle w:val="Prrafodelista"/>
        <w:numPr>
          <w:ilvl w:val="0"/>
          <w:numId w:val="1"/>
        </w:numPr>
      </w:pPr>
      <w:r>
        <w:t>Con la huelga y otras movilizaciones, las trabajadoras y trabajadores de RENFE de Málaga lograron que la empresa recuperara una parte de los trenes de cercanías suprimidos, mejorando así el servicio público ferroviario.</w:t>
      </w:r>
    </w:p>
    <w:p w14:paraId="7480506B" w14:textId="7EC85D22" w:rsidR="006060BE" w:rsidRDefault="006060BE" w:rsidP="006060BE">
      <w:pPr>
        <w:pStyle w:val="Prrafodelista"/>
        <w:numPr>
          <w:ilvl w:val="0"/>
          <w:numId w:val="1"/>
        </w:numPr>
      </w:pPr>
      <w:r>
        <w:t>Con la huelga indefinida del servicio de emergencias 112</w:t>
      </w:r>
      <w:r w:rsidR="0091496A">
        <w:t xml:space="preserve"> en Catalunya</w:t>
      </w:r>
      <w:r>
        <w:t xml:space="preserve">, las trabajadoras y trabajadores consiguieron un aumento del tiempo de descanso, creación de empleo mediante nuevas contrataciones y una subida salarial del 24%. </w:t>
      </w:r>
    </w:p>
    <w:p w14:paraId="799A103B" w14:textId="350BD34E" w:rsidR="006060BE" w:rsidRDefault="006060BE" w:rsidP="006060BE">
      <w:pPr>
        <w:pStyle w:val="Prrafodelista"/>
        <w:numPr>
          <w:ilvl w:val="0"/>
          <w:numId w:val="1"/>
        </w:numPr>
      </w:pPr>
      <w:r>
        <w:t xml:space="preserve">Con la huelga del servicio del 061 </w:t>
      </w:r>
      <w:r w:rsidR="0091496A">
        <w:t xml:space="preserve">en Catalunya, </w:t>
      </w:r>
      <w:r>
        <w:t>las trabajadores y trabajadores consiguieron la conversión de 130 contratos temporales en indefinidos, el reconocimiento de los trienios de antigüedad y una subida de hasta 200 euros mensuales</w:t>
      </w:r>
    </w:p>
    <w:p w14:paraId="266D8EE9" w14:textId="77777777" w:rsidR="006060BE" w:rsidRDefault="006060BE" w:rsidP="006060BE">
      <w:pPr>
        <w:pStyle w:val="Prrafodelista"/>
        <w:numPr>
          <w:ilvl w:val="0"/>
          <w:numId w:val="1"/>
        </w:numPr>
      </w:pPr>
      <w:r>
        <w:t xml:space="preserve">Con la huelga durante dos meses en Correos de Sabadell, las trabajadoras y trabajadores consiguieron mejoras en salud laboral, aumento de los descansos y que la empresa sancionara a un responsable por sus conductas autoritarias. </w:t>
      </w:r>
    </w:p>
    <w:p w14:paraId="541054A3" w14:textId="77777777" w:rsidR="006060BE" w:rsidRDefault="006060BE" w:rsidP="006060BE">
      <w:pPr>
        <w:pStyle w:val="Prrafodelista"/>
        <w:numPr>
          <w:ilvl w:val="0"/>
          <w:numId w:val="1"/>
        </w:numPr>
      </w:pPr>
      <w:r>
        <w:t xml:space="preserve">Con la huelga del servicio de Limpieza de Valls, las trabajadores y trabajadores consiguieron el reconocimiento de los trienios de antigüedad y otras mejoras salariales. </w:t>
      </w:r>
    </w:p>
    <w:p w14:paraId="5DAD7F8F" w14:textId="77777777" w:rsidR="006060BE" w:rsidRDefault="006060BE">
      <w:pPr>
        <w:rPr>
          <w:b/>
          <w:bCs/>
        </w:rPr>
      </w:pPr>
    </w:p>
    <w:p w14:paraId="21BA5000" w14:textId="3469E61C" w:rsidR="00DA5047" w:rsidRPr="00DA5047" w:rsidRDefault="00DA5047">
      <w:pPr>
        <w:rPr>
          <w:b/>
          <w:bCs/>
        </w:rPr>
      </w:pPr>
      <w:r w:rsidRPr="00DA5047">
        <w:rPr>
          <w:b/>
          <w:bCs/>
        </w:rPr>
        <w:t xml:space="preserve">CGT se ha convertido en el primer sindicato en huelgas en toda España. </w:t>
      </w:r>
    </w:p>
    <w:p w14:paraId="0C0054F6" w14:textId="64038469" w:rsidR="00350FFF" w:rsidRDefault="008A2AAB">
      <w:r>
        <w:t>Est</w:t>
      </w:r>
      <w:r w:rsidR="00DC6745">
        <w:t xml:space="preserve">os datos reflejan la fuerza creciente de CGT, que se ha convertido en el primer sindicato en huelgas en toda España </w:t>
      </w:r>
      <w:r w:rsidR="00405883">
        <w:t xml:space="preserve">y reflejan también </w:t>
      </w:r>
      <w:r w:rsidR="005B4901">
        <w:t xml:space="preserve">que el modelo sindical de CGT basado en la participación directa de las personas trabajadoras en la resolución de sus problemas, en la movilización y en la confrontación con los empresarios, conecta con </w:t>
      </w:r>
      <w:r w:rsidR="00763651">
        <w:t xml:space="preserve">una parte importante de </w:t>
      </w:r>
      <w:r w:rsidR="005B4901">
        <w:t xml:space="preserve">la clase trabajadora. </w:t>
      </w:r>
    </w:p>
    <w:p w14:paraId="648DCC30" w14:textId="3D4FAB42" w:rsidR="00861600" w:rsidRPr="006060BE" w:rsidRDefault="006060BE" w:rsidP="006060BE">
      <w:pPr>
        <w:rPr>
          <w:b/>
          <w:bCs/>
        </w:rPr>
      </w:pPr>
      <w:r w:rsidRPr="006060BE">
        <w:rPr>
          <w:b/>
          <w:bCs/>
        </w:rPr>
        <w:t>CCOO y UGT son sindicatos mayoritarios en afiliación y en representación, y CGT es sindicato mayoritario en huelgas.</w:t>
      </w:r>
    </w:p>
    <w:p w14:paraId="48A8A10B" w14:textId="4FFE5071" w:rsidR="00372F88" w:rsidRDefault="00372F88">
      <w:r>
        <w:t xml:space="preserve">2021 ha sido un año singular en cuanto a huelgas de CGT, pero la tendencia es que CGT se consolida como un sindicato mayoritario en huelgas, como el tercer gran sindicato de ámbito estatal en capacidad de movilización. </w:t>
      </w:r>
    </w:p>
    <w:p w14:paraId="6A60EBC5" w14:textId="52DB96BC" w:rsidR="00372F88" w:rsidRDefault="00372F88">
      <w:r>
        <w:t xml:space="preserve">Dejando al margen el año de la pandemia (2020), que merece un análisis particular, en los años 2018 y 2019, en las huelgas convocadas por CCOO han participado el 42-44% del total de huelguistas, en las convocadas por UGT el 28-37%, en las de CGT el 16-17%, y en las de ELA el 11-27%. </w:t>
      </w:r>
    </w:p>
    <w:p w14:paraId="4D3286AF" w14:textId="7456F4EE" w:rsidR="00372F88" w:rsidRDefault="00372F88">
      <w:r>
        <w:t xml:space="preserve">En 2021 CGT ha sido el primer sindicato en huelgas (participantes y jornadas de huelga) con gran diferencia respecto a CCOO y UGT debido a que a diferencia de años anteriores, en 2021, Catalunya ha sido el territorio con más participantes en huelgas. En 2019, el 24,21% de los participantes en huelgas en toda España realizaron las huelgas en Catalunya, mientras que en 2021 el porcentaje fue del 66,69%. </w:t>
      </w:r>
    </w:p>
    <w:p w14:paraId="46FF5628" w14:textId="078A765A" w:rsidR="00372F88" w:rsidRDefault="00D103CA">
      <w:r>
        <w:t xml:space="preserve">Al margen de este hecho poco habitual, que ha colocado a CGT como primer sindicato en huelgas, en los próximos años, es probable que CCOO recupere la primera posición en </w:t>
      </w:r>
      <w:r>
        <w:lastRenderedPageBreak/>
        <w:t xml:space="preserve">participantes y jornadas de huelga, pero todo indica que CGT se mantendrá como sindicato mayoritario en huelgas, con porcentajes entre el 15 y el 20% en participantes y jornadas de huelga. </w:t>
      </w:r>
    </w:p>
    <w:p w14:paraId="0F4A2332" w14:textId="0A36D569" w:rsidR="00D103CA" w:rsidRDefault="00D103CA">
      <w:r>
        <w:t xml:space="preserve">Todos estos datos indican que CGT no solo es un sindicato combativo y que apuesta por la participación y la movilización, sino que también es un sindicato mayoritario, cuyo modelo anarcosindicalista conecta con una gran parte de la clase trabajadora, dispuesta a confrontar con los empresarios para lograr mejoras laborales y cambios sociales profundos. </w:t>
      </w:r>
    </w:p>
    <w:p w14:paraId="02B562D0" w14:textId="039C7DC3" w:rsidR="00D103CA" w:rsidRDefault="00D103CA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25915E29" w14:textId="56733E73" w:rsidR="00D103CA" w:rsidRDefault="00D103CA" w:rsidP="00D103C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Septiembre de 2022</w:t>
      </w:r>
    </w:p>
    <w:p w14:paraId="354341E5" w14:textId="7043B153" w:rsidR="00D103CA" w:rsidRDefault="00D103CA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6FF6B3C3" w14:textId="665B2E5B" w:rsidR="00D103CA" w:rsidRDefault="00D103CA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530E5643" w14:textId="77777777" w:rsidR="00D103CA" w:rsidRDefault="00D103CA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24A91067" w14:textId="1CAF0DE9" w:rsidR="00D103CA" w:rsidRDefault="00D103CA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CONFEDERACIÓN GENERAL DEL TRABAJO (CGT)</w:t>
      </w:r>
    </w:p>
    <w:p w14:paraId="7D3606C7" w14:textId="77777777" w:rsidR="00D103CA" w:rsidRDefault="00D103CA" w:rsidP="00D103CA">
      <w:pPr>
        <w:jc w:val="center"/>
        <w:rPr>
          <w:rFonts w:ascii="Calibri-Bold" w:hAnsi="Calibri-Bold" w:cs="Calibri-Bold"/>
          <w:b/>
          <w:bCs/>
        </w:rPr>
      </w:pPr>
    </w:p>
    <w:p w14:paraId="74A5C860" w14:textId="2F341C7F" w:rsidR="00D103CA" w:rsidRDefault="00D103CA" w:rsidP="00D103CA">
      <w:pPr>
        <w:jc w:val="center"/>
      </w:pPr>
      <w:r>
        <w:rPr>
          <w:rFonts w:ascii="Calibri-Bold" w:hAnsi="Calibri-Bold" w:cs="Calibri-Bold"/>
          <w:b/>
          <w:bCs/>
        </w:rPr>
        <w:t>Secretariado Permanente del Comité Confederal</w:t>
      </w:r>
    </w:p>
    <w:sectPr w:rsidR="00D103C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D0FA" w14:textId="77777777" w:rsidR="00D103CA" w:rsidRDefault="00D103CA" w:rsidP="00D103CA">
      <w:pPr>
        <w:spacing w:after="0" w:line="240" w:lineRule="auto"/>
      </w:pPr>
      <w:r>
        <w:separator/>
      </w:r>
    </w:p>
  </w:endnote>
  <w:endnote w:type="continuationSeparator" w:id="0">
    <w:p w14:paraId="7A5B8C30" w14:textId="77777777" w:rsidR="00D103CA" w:rsidRDefault="00D103CA" w:rsidP="00D1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127684"/>
      <w:docPartObj>
        <w:docPartGallery w:val="Page Numbers (Bottom of Page)"/>
        <w:docPartUnique/>
      </w:docPartObj>
    </w:sdtPr>
    <w:sdtEndPr/>
    <w:sdtContent>
      <w:p w14:paraId="36CFA199" w14:textId="35BFD4FB" w:rsidR="00D103CA" w:rsidRDefault="00D103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DE117" w14:textId="77777777" w:rsidR="00D103CA" w:rsidRDefault="00D103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8123" w14:textId="77777777" w:rsidR="00D103CA" w:rsidRDefault="00D103CA" w:rsidP="00D103CA">
      <w:pPr>
        <w:spacing w:after="0" w:line="240" w:lineRule="auto"/>
      </w:pPr>
      <w:r>
        <w:separator/>
      </w:r>
    </w:p>
  </w:footnote>
  <w:footnote w:type="continuationSeparator" w:id="0">
    <w:p w14:paraId="29C24794" w14:textId="77777777" w:rsidR="00D103CA" w:rsidRDefault="00D103CA" w:rsidP="00D1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3B8"/>
    <w:multiLevelType w:val="hybridMultilevel"/>
    <w:tmpl w:val="088659FE"/>
    <w:lvl w:ilvl="0" w:tplc="6C406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AD"/>
    <w:rsid w:val="00082812"/>
    <w:rsid w:val="000F637B"/>
    <w:rsid w:val="001A1714"/>
    <w:rsid w:val="001A37E3"/>
    <w:rsid w:val="001A5D6A"/>
    <w:rsid w:val="001E04ED"/>
    <w:rsid w:val="001F62AD"/>
    <w:rsid w:val="00202272"/>
    <w:rsid w:val="002F0313"/>
    <w:rsid w:val="003333E5"/>
    <w:rsid w:val="00350FFF"/>
    <w:rsid w:val="00372F88"/>
    <w:rsid w:val="00373E49"/>
    <w:rsid w:val="00394144"/>
    <w:rsid w:val="003F7238"/>
    <w:rsid w:val="00405883"/>
    <w:rsid w:val="0040759E"/>
    <w:rsid w:val="00432C8A"/>
    <w:rsid w:val="00497D9C"/>
    <w:rsid w:val="004A50EE"/>
    <w:rsid w:val="004E1375"/>
    <w:rsid w:val="004F7F57"/>
    <w:rsid w:val="00512B54"/>
    <w:rsid w:val="005A0DD4"/>
    <w:rsid w:val="005B1B21"/>
    <w:rsid w:val="005B4901"/>
    <w:rsid w:val="005D1568"/>
    <w:rsid w:val="00605509"/>
    <w:rsid w:val="006060BE"/>
    <w:rsid w:val="00644CFF"/>
    <w:rsid w:val="00655B57"/>
    <w:rsid w:val="006743FD"/>
    <w:rsid w:val="006C2804"/>
    <w:rsid w:val="0070422F"/>
    <w:rsid w:val="00715AE9"/>
    <w:rsid w:val="00757FDD"/>
    <w:rsid w:val="00763651"/>
    <w:rsid w:val="007A57A2"/>
    <w:rsid w:val="007E5B87"/>
    <w:rsid w:val="007E5E97"/>
    <w:rsid w:val="00812F32"/>
    <w:rsid w:val="00850768"/>
    <w:rsid w:val="00861600"/>
    <w:rsid w:val="008A2AAB"/>
    <w:rsid w:val="008B306C"/>
    <w:rsid w:val="008D6A52"/>
    <w:rsid w:val="008F65E4"/>
    <w:rsid w:val="009071B8"/>
    <w:rsid w:val="0091496A"/>
    <w:rsid w:val="009239E8"/>
    <w:rsid w:val="0095097D"/>
    <w:rsid w:val="00967432"/>
    <w:rsid w:val="0098522A"/>
    <w:rsid w:val="009A5A44"/>
    <w:rsid w:val="009C7DD4"/>
    <w:rsid w:val="00A01ADB"/>
    <w:rsid w:val="00A9545F"/>
    <w:rsid w:val="00AE53AD"/>
    <w:rsid w:val="00AE6A20"/>
    <w:rsid w:val="00AF764E"/>
    <w:rsid w:val="00B206EF"/>
    <w:rsid w:val="00B27144"/>
    <w:rsid w:val="00B37814"/>
    <w:rsid w:val="00B66D03"/>
    <w:rsid w:val="00BF0E8B"/>
    <w:rsid w:val="00C00564"/>
    <w:rsid w:val="00C03842"/>
    <w:rsid w:val="00C459BB"/>
    <w:rsid w:val="00CA76CF"/>
    <w:rsid w:val="00CB0DBC"/>
    <w:rsid w:val="00CE2811"/>
    <w:rsid w:val="00CF32EE"/>
    <w:rsid w:val="00D103CA"/>
    <w:rsid w:val="00D67599"/>
    <w:rsid w:val="00D807E9"/>
    <w:rsid w:val="00D83E6E"/>
    <w:rsid w:val="00DA5047"/>
    <w:rsid w:val="00DA756C"/>
    <w:rsid w:val="00DC6745"/>
    <w:rsid w:val="00DD5F05"/>
    <w:rsid w:val="00DE3499"/>
    <w:rsid w:val="00DE5215"/>
    <w:rsid w:val="00E04583"/>
    <w:rsid w:val="00E05664"/>
    <w:rsid w:val="00E13C59"/>
    <w:rsid w:val="00E2054C"/>
    <w:rsid w:val="00E21652"/>
    <w:rsid w:val="00E22524"/>
    <w:rsid w:val="00EC1773"/>
    <w:rsid w:val="00F02DD2"/>
    <w:rsid w:val="00F67937"/>
    <w:rsid w:val="00F77E93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212F"/>
  <w15:chartTrackingRefBased/>
  <w15:docId w15:val="{3B66F277-B21D-47B4-AA6E-0B0D0A2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0B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060B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0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3CA"/>
  </w:style>
  <w:style w:type="paragraph" w:styleId="Piedepgina">
    <w:name w:val="footer"/>
    <w:basedOn w:val="Normal"/>
    <w:link w:val="PiedepginaCar"/>
    <w:uiPriority w:val="99"/>
    <w:unhideWhenUsed/>
    <w:rsid w:val="00D10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2821486.CORP\OneDrive%20-%20ADIF\Escritorio\Huelgas%20Convocantes%205%20a&#241;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2821486.CORP\OneDrive%20-%20ADIF\Escritorio\Huelgas%20Convocantes%205%20a&#241;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PARTICIPANTES EN</a:t>
            </a:r>
            <a:r>
              <a:rPr lang="es-ES" baseline="0"/>
              <a:t> HUELGAS EN 2021 EN ESPAÑA POR ORGANIZACIÓN CONVOCANTE (%)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graficos!$D$21</c:f>
              <c:strCache>
                <c:ptCount val="1"/>
                <c:pt idx="0">
                  <c:v>PARTICIPANTES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graficos!$C$22:$C$32</c:f>
              <c:strCache>
                <c:ptCount val="11"/>
                <c:pt idx="0">
                  <c:v>CGT</c:v>
                </c:pt>
                <c:pt idx="1">
                  <c:v>Delegados o Comité empresa</c:v>
                </c:pt>
                <c:pt idx="2">
                  <c:v>Otros  sindicatos</c:v>
                </c:pt>
                <c:pt idx="3">
                  <c:v>CC.OO.</c:v>
                </c:pt>
                <c:pt idx="4">
                  <c:v>UGT</c:v>
                </c:pt>
                <c:pt idx="5">
                  <c:v>Otros convocantes</c:v>
                </c:pt>
                <c:pt idx="6">
                  <c:v>No consta</c:v>
                </c:pt>
                <c:pt idx="7">
                  <c:v>ELA-STV</c:v>
                </c:pt>
                <c:pt idx="8">
                  <c:v>CIG</c:v>
                </c:pt>
                <c:pt idx="9">
                  <c:v>USO</c:v>
                </c:pt>
                <c:pt idx="10">
                  <c:v>Grupo de trabajadores</c:v>
                </c:pt>
              </c:strCache>
            </c:strRef>
          </c:cat>
          <c:val>
            <c:numRef>
              <c:f>graficos!$D$22:$D$32</c:f>
              <c:numCache>
                <c:formatCode>#,##0.00</c:formatCode>
                <c:ptCount val="11"/>
                <c:pt idx="0">
                  <c:v>59.626882919819522</c:v>
                </c:pt>
                <c:pt idx="1">
                  <c:v>18.812115000050245</c:v>
                </c:pt>
                <c:pt idx="2">
                  <c:v>15.00658205460593</c:v>
                </c:pt>
                <c:pt idx="3">
                  <c:v>5.0430597007426163</c:v>
                </c:pt>
                <c:pt idx="4">
                  <c:v>4.1848803673891855</c:v>
                </c:pt>
                <c:pt idx="5">
                  <c:v>2.3841106187131329</c:v>
                </c:pt>
                <c:pt idx="6">
                  <c:v>1.9314059469617035</c:v>
                </c:pt>
                <c:pt idx="7">
                  <c:v>1.5244239446102519</c:v>
                </c:pt>
                <c:pt idx="8">
                  <c:v>0.91143870650065817</c:v>
                </c:pt>
                <c:pt idx="9">
                  <c:v>0.78030006129852381</c:v>
                </c:pt>
                <c:pt idx="10">
                  <c:v>0.30347793755589719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FA-467C-807E-8CD696546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9582607"/>
        <c:axId val="1189574287"/>
      </c:barChart>
      <c:catAx>
        <c:axId val="1189582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89574287"/>
        <c:crosses val="autoZero"/>
        <c:auto val="1"/>
        <c:lblAlgn val="ctr"/>
        <c:lblOffset val="100"/>
        <c:noMultiLvlLbl val="0"/>
      </c:catAx>
      <c:valAx>
        <c:axId val="1189574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89582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JORNADAS NO TRABAJADAS POR HUELGA EN 2021 EN ESPAÑA POR ORGANIZACIÓN CONVOCANTE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graficos!$R$37</c:f>
              <c:strCache>
                <c:ptCount val="1"/>
                <c:pt idx="0">
                  <c:v>JORNADAS NO TRABAJADAS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graficos!$Q$38:$Q$48</c:f>
              <c:strCache>
                <c:ptCount val="11"/>
                <c:pt idx="0">
                  <c:v>CGT</c:v>
                </c:pt>
                <c:pt idx="1">
                  <c:v>No consta</c:v>
                </c:pt>
                <c:pt idx="2">
                  <c:v>Delegados o Comité de empresa</c:v>
                </c:pt>
                <c:pt idx="3">
                  <c:v>Otros  sindicatos</c:v>
                </c:pt>
                <c:pt idx="4">
                  <c:v>CC.OO.</c:v>
                </c:pt>
                <c:pt idx="5">
                  <c:v>UGT</c:v>
                </c:pt>
                <c:pt idx="6">
                  <c:v>ELA-STV</c:v>
                </c:pt>
                <c:pt idx="7">
                  <c:v>USO</c:v>
                </c:pt>
                <c:pt idx="8">
                  <c:v>CIG</c:v>
                </c:pt>
                <c:pt idx="9">
                  <c:v>Otros convocantes</c:v>
                </c:pt>
                <c:pt idx="10">
                  <c:v>Grupo de trabajadores</c:v>
                </c:pt>
              </c:strCache>
            </c:strRef>
          </c:cat>
          <c:val>
            <c:numRef>
              <c:f>graficos!$R$38:$R$48</c:f>
              <c:numCache>
                <c:formatCode>#,##0.00</c:formatCode>
                <c:ptCount val="11"/>
                <c:pt idx="0">
                  <c:v>29.145370906897817</c:v>
                </c:pt>
                <c:pt idx="1">
                  <c:v>23.33833946288566</c:v>
                </c:pt>
                <c:pt idx="2">
                  <c:v>20.967089625486324</c:v>
                </c:pt>
                <c:pt idx="3">
                  <c:v>18.847959509478141</c:v>
                </c:pt>
                <c:pt idx="4">
                  <c:v>8.5536227428071374</c:v>
                </c:pt>
                <c:pt idx="5">
                  <c:v>6.3491124960088925</c:v>
                </c:pt>
                <c:pt idx="6">
                  <c:v>3.0874022917824582</c:v>
                </c:pt>
                <c:pt idx="7">
                  <c:v>1.5583647694618215</c:v>
                </c:pt>
                <c:pt idx="8">
                  <c:v>1.3611153814315953</c:v>
                </c:pt>
                <c:pt idx="9">
                  <c:v>1.158662772134385</c:v>
                </c:pt>
                <c:pt idx="10">
                  <c:v>0.52008561664084763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E0-4DAA-8027-404885702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5560367"/>
        <c:axId val="1195562447"/>
      </c:barChart>
      <c:catAx>
        <c:axId val="1195560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95562447"/>
        <c:crosses val="autoZero"/>
        <c:auto val="1"/>
        <c:lblAlgn val="ctr"/>
        <c:lblOffset val="100"/>
        <c:noMultiLvlLbl val="0"/>
      </c:catAx>
      <c:valAx>
        <c:axId val="1195562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95560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Wilhelmi Casanova</dc:creator>
  <cp:keywords/>
  <dc:description/>
  <cp:lastModifiedBy>Gonzalo Wilhelmi Casanova</cp:lastModifiedBy>
  <cp:revision>16</cp:revision>
  <dcterms:created xsi:type="dcterms:W3CDTF">2022-09-04T07:24:00Z</dcterms:created>
  <dcterms:modified xsi:type="dcterms:W3CDTF">2022-09-18T21:48:00Z</dcterms:modified>
</cp:coreProperties>
</file>